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75"/>
        <w:gridCol w:w="1418"/>
        <w:gridCol w:w="1559"/>
        <w:gridCol w:w="1418"/>
        <w:gridCol w:w="1984"/>
      </w:tblGrid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序號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109/02/24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18:07:21</w:t>
            </w:r>
          </w:p>
        </w:tc>
      </w:tr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詹榮泉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財務長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03-5722691</w:t>
            </w:r>
          </w:p>
        </w:tc>
      </w:tr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董事會決議股利分派</w:t>
            </w:r>
          </w:p>
        </w:tc>
      </w:tr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第14 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jc w:val="both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109/02/24</w:t>
            </w:r>
          </w:p>
        </w:tc>
      </w:tr>
      <w:tr w:rsidR="00CB4FD9" w:rsidRPr="00CB4FD9" w:rsidTr="00CB4FD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CB4FD9">
            <w:pPr>
              <w:widowControl/>
              <w:jc w:val="center"/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1. 董事會擬議日期：109/02/24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 w:hint="eastAsia"/>
                <w:color w:val="333333"/>
                <w:kern w:val="0"/>
                <w:sz w:val="22"/>
              </w:rPr>
              <w:t>2</w:t>
            </w: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. 股利所屬年(季)度：108年 年度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3. 股利所屬期間：108/01/01 至 108/12/31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4. 股東配發內容：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(1)盈餘分配之現金股利(元/股)：0.40000000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(2)法定盈餘公積、資本公積發放之現金(元/股)：0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(3)股東配發之現金(股利)總金額(元)：12,809,891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(4)盈餘轉增資配股(元/股)：0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(5)法定盈餘公積、資本公積轉增資配股(元/股)：0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(6)股東配股總股數(股)：0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5. 其他應敘明事項：無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6. 普通股每股面額欄位：新台幣   10.0000元</w:t>
            </w:r>
          </w:p>
        </w:tc>
      </w:tr>
    </w:tbl>
    <w:p w:rsidR="00CB4FD9" w:rsidRDefault="00CB4FD9" w:rsidP="00CB4FD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CB4FD9" w:rsidRDefault="00CB4FD9" w:rsidP="00CB4FD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CB4FD9" w:rsidRDefault="00CB4FD9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br w:type="page"/>
      </w:r>
    </w:p>
    <w:tbl>
      <w:tblPr>
        <w:tblW w:w="9371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417"/>
        <w:gridCol w:w="1852"/>
        <w:gridCol w:w="1291"/>
        <w:gridCol w:w="1242"/>
        <w:gridCol w:w="2561"/>
      </w:tblGrid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lastRenderedPageBreak/>
              <w:t>號</w:t>
            </w: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序號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 2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發言日期</w:t>
            </w:r>
            <w:proofErr w:type="gramStart"/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期</w:t>
            </w:r>
            <w:proofErr w:type="gramEnd"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 109/02/24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發言時間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 18:07:40</w:t>
            </w:r>
          </w:p>
        </w:tc>
      </w:tr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 詹榮泉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發</w:t>
            </w: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發言人職稱</w:t>
            </w:r>
            <w:proofErr w:type="gramStart"/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職稱</w:t>
            </w:r>
            <w:proofErr w:type="gramEnd"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 財務長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發言人電話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 03-5722691</w:t>
            </w:r>
          </w:p>
        </w:tc>
      </w:tr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本公司董事會決議召開股東常會</w:t>
            </w:r>
          </w:p>
        </w:tc>
      </w:tr>
      <w:tr w:rsidR="00CB4FD9" w:rsidRPr="00CB4FD9" w:rsidTr="004E7F5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第 17 款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proofErr w:type="gramStart"/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事實</w:t>
            </w: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事實</w:t>
            </w:r>
            <w:proofErr w:type="gramEnd"/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發生日</w:t>
            </w:r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日</w:t>
            </w:r>
          </w:p>
        </w:tc>
        <w:tc>
          <w:tcPr>
            <w:tcW w:w="5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4E7F59">
            <w:pPr>
              <w:widowControl/>
              <w:spacing w:line="435" w:lineRule="atLeast"/>
              <w:jc w:val="both"/>
              <w:rPr>
                <w:rFonts w:asciiTheme="minorEastAsia" w:hAnsiTheme="minorEastAsia" w:cs="Arial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333333"/>
                <w:kern w:val="0"/>
                <w:sz w:val="22"/>
              </w:rPr>
              <w:t>109/02/24</w:t>
            </w:r>
          </w:p>
        </w:tc>
      </w:tr>
      <w:tr w:rsidR="00CB4FD9" w:rsidRPr="00CB4FD9" w:rsidTr="00CB4FD9">
        <w:trPr>
          <w:trHeight w:val="450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CB4FD9">
            <w:pPr>
              <w:widowControl/>
              <w:spacing w:line="435" w:lineRule="atLeast"/>
              <w:jc w:val="center"/>
              <w:rPr>
                <w:rFonts w:asciiTheme="minorEastAsia" w:hAnsiTheme="minorEastAsia" w:cs="Arial"/>
                <w:color w:val="FFFFFF"/>
                <w:kern w:val="0"/>
                <w:sz w:val="22"/>
              </w:rPr>
            </w:pPr>
            <w:r w:rsidRPr="00CB4FD9">
              <w:rPr>
                <w:rFonts w:asciiTheme="minorEastAsia" w:hAnsiTheme="minorEastAsia" w:cs="Arial"/>
                <w:color w:val="FFFFFF"/>
                <w:kern w:val="0"/>
                <w:sz w:val="22"/>
              </w:rPr>
              <w:t>說</w:t>
            </w:r>
            <w:r w:rsidRPr="00CB4FD9">
              <w:rPr>
                <w:rFonts w:asciiTheme="minorEastAsia" w:hAnsiTheme="minorEastAsia" w:cs="新細明體"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1.董事會決議日期:109/02/24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2.股東會召開日期:109/05/21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3.股東會召開地點:新竹市光復路二段二巷47號一樓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4.召集事由一、報告事項: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(</w:t>
            </w:r>
            <w:proofErr w:type="gramStart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一</w:t>
            </w:r>
            <w:proofErr w:type="gramEnd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)一○八年度營業決算報告。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(二)審計委員會審查報告。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(三)一○八年度員工酬勞及董事酬勞分派情形報告。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5.召集事由二、承認事項: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(</w:t>
            </w:r>
            <w:proofErr w:type="gramStart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一</w:t>
            </w:r>
            <w:proofErr w:type="gramEnd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)承認民國一○八年度之營業報告書及財務報表。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(二)承認民國一○八年度盈餘分配之議案。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6.召集事由三、討論事項: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(</w:t>
            </w:r>
            <w:proofErr w:type="gramStart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一</w:t>
            </w:r>
            <w:proofErr w:type="gramEnd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) 修正「公司章程」案。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7.召集事由四、選舉事項:無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8.召集事由五、其他議案:無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9.召集事由六、臨時動議:無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10.停止過戶起始日期:109/03/23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11.停止過戶截止日期:109/05/21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12.是否已於股利分派情形公告盈餘分派或虧損撥補議案內容(是/否):是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53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13.尚未於股利分派情形公告盈餘分派或虧損撥補議案內容者，</w:t>
            </w:r>
            <w:proofErr w:type="gramStart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請敘明</w:t>
            </w:r>
            <w:proofErr w:type="gramEnd"/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原因:無</w:t>
            </w:r>
          </w:p>
          <w:p w:rsidR="00CB4FD9" w:rsidRPr="00CB4FD9" w:rsidRDefault="00CB4FD9" w:rsidP="00CB4F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Theme="minorEastAsia" w:hAnsiTheme="minorEastAsia" w:cs="細明體"/>
                <w:color w:val="333333"/>
                <w:kern w:val="0"/>
                <w:sz w:val="22"/>
              </w:rPr>
            </w:pPr>
            <w:r w:rsidRPr="00CB4FD9">
              <w:rPr>
                <w:rFonts w:asciiTheme="minorEastAsia" w:hAnsiTheme="minorEastAsia" w:cs="細明體"/>
                <w:color w:val="333333"/>
                <w:kern w:val="0"/>
                <w:sz w:val="22"/>
              </w:rPr>
              <w:t>14.其他應敘明事項:本次股東常會股東得以電子方式行使表決權，行使期間自民國109年4月21日至109年5月18日止(電子投票平台：台灣集中保管結算所股份有限公司)。</w:t>
            </w:r>
          </w:p>
        </w:tc>
      </w:tr>
    </w:tbl>
    <w:p w:rsidR="00CB4FD9" w:rsidRPr="00CB4FD9" w:rsidRDefault="00CB4FD9" w:rsidP="00CB4FD9">
      <w:pPr>
        <w:widowControl/>
        <w:rPr>
          <w:rFonts w:ascii="新細明體" w:eastAsia="新細明體" w:hAnsi="新細明體" w:cs="新細明體"/>
          <w:b/>
          <w:kern w:val="0"/>
          <w:szCs w:val="24"/>
        </w:rPr>
      </w:pPr>
    </w:p>
    <w:sectPr w:rsidR="00CB4FD9" w:rsidRPr="00CB4FD9" w:rsidSect="00CB4FD9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FD9" w:rsidRDefault="00CB4FD9" w:rsidP="00CB4FD9">
      <w:r>
        <w:separator/>
      </w:r>
    </w:p>
  </w:endnote>
  <w:endnote w:type="continuationSeparator" w:id="0">
    <w:p w:rsidR="00CB4FD9" w:rsidRDefault="00CB4FD9" w:rsidP="00CB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FD9" w:rsidRDefault="00CB4FD9" w:rsidP="00CB4FD9">
      <w:r>
        <w:separator/>
      </w:r>
    </w:p>
  </w:footnote>
  <w:footnote w:type="continuationSeparator" w:id="0">
    <w:p w:rsidR="00CB4FD9" w:rsidRDefault="00CB4FD9" w:rsidP="00CB4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084"/>
    <w:rsid w:val="000F1931"/>
    <w:rsid w:val="004E7F59"/>
    <w:rsid w:val="005B4C8C"/>
    <w:rsid w:val="00B61C86"/>
    <w:rsid w:val="00CB4FD9"/>
    <w:rsid w:val="00EF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B4F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B4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B4F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3</cp:revision>
  <dcterms:created xsi:type="dcterms:W3CDTF">2020-02-25T09:19:00Z</dcterms:created>
  <dcterms:modified xsi:type="dcterms:W3CDTF">2020-02-25T09:26:00Z</dcterms:modified>
</cp:coreProperties>
</file>