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98" w:type="dxa"/>
        <w:shd w:val="clear" w:color="auto" w:fill="FFFFFF"/>
        <w:tblCellMar>
          <w:top w:w="15" w:type="dxa"/>
          <w:left w:w="15" w:type="dxa"/>
          <w:bottom w:w="15" w:type="dxa"/>
          <w:right w:w="15" w:type="dxa"/>
        </w:tblCellMar>
        <w:tblLook w:val="04A0"/>
      </w:tblPr>
      <w:tblGrid>
        <w:gridCol w:w="10198"/>
      </w:tblGrid>
      <w:tr w:rsidR="003F13EC" w:rsidRPr="003F13EC" w:rsidTr="003C372C">
        <w:trPr>
          <w:trHeight w:val="720"/>
        </w:trPr>
        <w:tc>
          <w:tcPr>
            <w:tcW w:w="101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3EC" w:rsidRPr="003F13EC" w:rsidRDefault="003F13EC" w:rsidP="003F13EC">
            <w:pPr>
              <w:widowControl/>
              <w:spacing w:line="363" w:lineRule="atLeast"/>
              <w:jc w:val="center"/>
              <w:rPr>
                <w:rFonts w:ascii="Arial" w:eastAsia="新細明體" w:hAnsi="Arial" w:cs="Arial"/>
                <w:b/>
                <w:bCs/>
                <w:color w:val="0000FF"/>
                <w:kern w:val="0"/>
                <w:szCs w:val="24"/>
              </w:rPr>
            </w:pPr>
            <w:r w:rsidRPr="003F13EC">
              <w:rPr>
                <w:rFonts w:ascii="Arial" w:eastAsia="新細明體" w:hAnsi="Arial" w:cs="Arial"/>
                <w:b/>
                <w:bCs/>
                <w:color w:val="0000FF"/>
                <w:kern w:val="0"/>
                <w:szCs w:val="24"/>
              </w:rPr>
              <w:t xml:space="preserve">本資料由　</w:t>
            </w:r>
            <w:r w:rsidRPr="003F13EC">
              <w:rPr>
                <w:rFonts w:ascii="Arial" w:eastAsia="新細明體" w:hAnsi="Arial" w:cs="Arial"/>
                <w:b/>
                <w:bCs/>
                <w:color w:val="0000FF"/>
                <w:kern w:val="0"/>
                <w:szCs w:val="24"/>
              </w:rPr>
              <w:t>(</w:t>
            </w:r>
            <w:r w:rsidRPr="003F13EC">
              <w:rPr>
                <w:rFonts w:ascii="Arial" w:eastAsia="新細明體" w:hAnsi="Arial" w:cs="Arial"/>
                <w:b/>
                <w:bCs/>
                <w:color w:val="0000FF"/>
                <w:kern w:val="0"/>
                <w:szCs w:val="24"/>
              </w:rPr>
              <w:t>上櫃公司</w:t>
            </w:r>
            <w:r w:rsidRPr="003F13EC">
              <w:rPr>
                <w:rFonts w:ascii="Arial" w:eastAsia="新細明體" w:hAnsi="Arial" w:cs="Arial"/>
                <w:b/>
                <w:bCs/>
                <w:color w:val="0000FF"/>
                <w:kern w:val="0"/>
                <w:szCs w:val="24"/>
              </w:rPr>
              <w:t xml:space="preserve">) </w:t>
            </w:r>
            <w:r w:rsidRPr="003F13EC">
              <w:rPr>
                <w:rFonts w:ascii="Arial" w:eastAsia="新細明體" w:hAnsi="Arial" w:cs="Arial"/>
                <w:b/>
                <w:bCs/>
                <w:color w:val="0000FF"/>
                <w:kern w:val="0"/>
                <w:szCs w:val="24"/>
              </w:rPr>
              <w:t>蒙恬</w:t>
            </w:r>
            <w:r w:rsidRPr="003F13EC">
              <w:rPr>
                <w:rFonts w:ascii="Arial" w:eastAsia="新細明體" w:hAnsi="Arial" w:cs="Arial"/>
                <w:b/>
                <w:bCs/>
                <w:color w:val="0000FF"/>
                <w:kern w:val="0"/>
                <w:szCs w:val="24"/>
              </w:rPr>
              <w:t xml:space="preserve"> </w:t>
            </w:r>
            <w:r w:rsidRPr="003F13EC">
              <w:rPr>
                <w:rFonts w:ascii="Arial" w:eastAsia="新細明體" w:hAnsi="Arial" w:cs="Arial"/>
                <w:b/>
                <w:bCs/>
                <w:color w:val="0000FF"/>
                <w:kern w:val="0"/>
                <w:szCs w:val="24"/>
              </w:rPr>
              <w:t xml:space="preserve">　公司提供</w:t>
            </w:r>
          </w:p>
        </w:tc>
      </w:tr>
      <w:tr w:rsidR="003F13EC" w:rsidRPr="003F13EC" w:rsidTr="003C372C">
        <w:tc>
          <w:tcPr>
            <w:tcW w:w="101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3EC" w:rsidRPr="003F13EC" w:rsidRDefault="003F13EC" w:rsidP="003F13EC">
            <w:pPr>
              <w:widowControl/>
              <w:spacing w:line="363" w:lineRule="atLeast"/>
              <w:jc w:val="center"/>
              <w:rPr>
                <w:rFonts w:ascii="Arial" w:eastAsia="新細明體" w:hAnsi="Arial" w:cs="Arial"/>
                <w:color w:val="333333"/>
                <w:kern w:val="0"/>
                <w:szCs w:val="24"/>
              </w:rPr>
            </w:pPr>
          </w:p>
        </w:tc>
      </w:tr>
    </w:tbl>
    <w:p w:rsidR="003F13EC" w:rsidRPr="003F13EC" w:rsidRDefault="003F13EC" w:rsidP="003F13EC">
      <w:pPr>
        <w:widowControl/>
        <w:rPr>
          <w:rFonts w:ascii="新細明體" w:eastAsia="新細明體" w:hAnsi="新細明體" w:cs="新細明體"/>
          <w:vanish/>
          <w:kern w:val="0"/>
          <w:szCs w:val="24"/>
        </w:rPr>
      </w:pPr>
    </w:p>
    <w:tbl>
      <w:tblPr>
        <w:tblW w:w="0" w:type="auto"/>
        <w:shd w:val="clear" w:color="auto" w:fill="FFFFFF"/>
        <w:tblCellMar>
          <w:top w:w="15" w:type="dxa"/>
          <w:left w:w="15" w:type="dxa"/>
          <w:bottom w:w="15" w:type="dxa"/>
          <w:right w:w="15" w:type="dxa"/>
        </w:tblCellMar>
        <w:tblLook w:val="04A0"/>
      </w:tblPr>
      <w:tblGrid>
        <w:gridCol w:w="250"/>
        <w:gridCol w:w="485"/>
        <w:gridCol w:w="1715"/>
        <w:gridCol w:w="2200"/>
        <w:gridCol w:w="1554"/>
        <w:gridCol w:w="2132"/>
      </w:tblGrid>
      <w:tr w:rsidR="00FB1F43" w:rsidRPr="003F13EC" w:rsidTr="00FB1F43">
        <w:trPr>
          <w:trHeight w:val="3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序號</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1</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發言日期</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106/11/09</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發言時間</w:t>
            </w:r>
          </w:p>
        </w:tc>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18:14:28</w:t>
            </w:r>
          </w:p>
        </w:tc>
      </w:tr>
      <w:tr w:rsidR="00FB1F43" w:rsidRPr="003F13EC" w:rsidTr="00FB1F43">
        <w:trPr>
          <w:trHeight w:val="3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發言人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w:t>
            </w:r>
            <w:r w:rsidRPr="003F13EC">
              <w:rPr>
                <w:rFonts w:ascii="Arial" w:eastAsia="新細明體" w:hAnsi="Arial" w:cs="Arial"/>
                <w:color w:val="333333"/>
                <w:kern w:val="0"/>
                <w:sz w:val="19"/>
                <w:szCs w:val="19"/>
              </w:rPr>
              <w:t>詹榮泉</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發言人職稱</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w:t>
            </w:r>
            <w:r w:rsidRPr="003F13EC">
              <w:rPr>
                <w:rFonts w:ascii="Arial" w:eastAsia="新細明體" w:hAnsi="Arial" w:cs="Arial"/>
                <w:color w:val="333333"/>
                <w:kern w:val="0"/>
                <w:sz w:val="19"/>
                <w:szCs w:val="19"/>
              </w:rPr>
              <w:t>財務長</w:t>
            </w:r>
          </w:p>
        </w:tc>
        <w:tc>
          <w:tcPr>
            <w:tcW w:w="17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發言人電話</w:t>
            </w:r>
          </w:p>
        </w:tc>
        <w:tc>
          <w:tcPr>
            <w:tcW w:w="23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03-5722691</w:t>
            </w:r>
          </w:p>
        </w:tc>
      </w:tr>
      <w:tr w:rsidR="00FB1F43" w:rsidRPr="003F13EC" w:rsidTr="00FB1F43">
        <w:trPr>
          <w:trHeight w:val="3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主旨</w:t>
            </w: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F13EC"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Arial" w:eastAsia="細明體" w:hAnsi="Arial" w:cs="Arial"/>
                <w:color w:val="333333"/>
                <w:kern w:val="0"/>
                <w:szCs w:val="24"/>
              </w:rPr>
            </w:pPr>
            <w:r w:rsidRPr="003F13EC">
              <w:rPr>
                <w:rFonts w:ascii="Arial" w:eastAsia="細明體" w:hAnsi="Arial" w:cs="Arial"/>
                <w:color w:val="333333"/>
                <w:kern w:val="0"/>
                <w:szCs w:val="24"/>
              </w:rPr>
              <w:t>本公司有價證券近期多次達公佈注意交易資訊標準，故公告相關訊息，以利投資人區別</w:t>
            </w:r>
            <w:proofErr w:type="gramStart"/>
            <w:r w:rsidRPr="003F13EC">
              <w:rPr>
                <w:rFonts w:ascii="Arial" w:eastAsia="細明體" w:hAnsi="Arial" w:cs="Arial"/>
                <w:color w:val="333333"/>
                <w:kern w:val="0"/>
                <w:szCs w:val="24"/>
              </w:rPr>
              <w:t>暸</w:t>
            </w:r>
            <w:proofErr w:type="gramEnd"/>
            <w:r w:rsidRPr="003F13EC">
              <w:rPr>
                <w:rFonts w:ascii="Arial" w:eastAsia="細明體" w:hAnsi="Arial" w:cs="Arial"/>
                <w:color w:val="333333"/>
                <w:kern w:val="0"/>
                <w:szCs w:val="24"/>
              </w:rPr>
              <w:t>解。</w:t>
            </w:r>
          </w:p>
        </w:tc>
      </w:tr>
      <w:tr w:rsidR="00FB1F43" w:rsidRPr="003F13EC" w:rsidTr="00FB1F43">
        <w:trPr>
          <w:trHeight w:val="3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B35A37" w:rsidRDefault="00FB1F43" w:rsidP="007252FB">
            <w:pPr>
              <w:widowControl/>
              <w:jc w:val="center"/>
              <w:rPr>
                <w:rFonts w:ascii="細明體" w:eastAsia="細明體" w:hAnsi="細明體" w:cs="新細明體"/>
                <w:bCs/>
                <w:color w:val="333333"/>
                <w:kern w:val="0"/>
                <w:sz w:val="22"/>
              </w:rPr>
            </w:pPr>
            <w:r w:rsidRPr="00B35A37">
              <w:rPr>
                <w:rFonts w:ascii="細明體" w:eastAsia="細明體" w:hAnsi="細明體" w:cs="新細明體"/>
                <w:bCs/>
                <w:color w:val="333333"/>
                <w:kern w:val="0"/>
                <w:sz w:val="22"/>
              </w:rPr>
              <w:t>符合條款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xml:space="preserve">　第</w:t>
            </w:r>
            <w:r w:rsidRPr="003F13EC">
              <w:rPr>
                <w:rFonts w:ascii="Arial" w:eastAsia="新細明體" w:hAnsi="Arial" w:cs="Arial"/>
                <w:color w:val="333333"/>
                <w:kern w:val="0"/>
                <w:sz w:val="19"/>
                <w:szCs w:val="19"/>
              </w:rPr>
              <w:t xml:space="preserve"> 51 </w:t>
            </w:r>
            <w:r w:rsidRPr="003F13EC">
              <w:rPr>
                <w:rFonts w:ascii="Arial" w:eastAsia="新細明體" w:hAnsi="Arial" w:cs="Arial"/>
                <w:color w:val="333333"/>
                <w:kern w:val="0"/>
                <w:sz w:val="19"/>
                <w:szCs w:val="19"/>
              </w:rPr>
              <w:t>款</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FFFFFF"/>
                <w:kern w:val="0"/>
                <w:sz w:val="19"/>
                <w:szCs w:val="19"/>
              </w:rPr>
            </w:pPr>
            <w:r w:rsidRPr="003F13EC">
              <w:rPr>
                <w:rFonts w:ascii="Arial" w:eastAsia="新細明體" w:hAnsi="Arial" w:cs="Arial"/>
                <w:color w:val="FFFFFF"/>
                <w:kern w:val="0"/>
                <w:sz w:val="19"/>
                <w:szCs w:val="19"/>
              </w:rPr>
              <w:t>事實發生日</w:t>
            </w:r>
          </w:p>
        </w:tc>
        <w:tc>
          <w:tcPr>
            <w:tcW w:w="64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333333"/>
                <w:kern w:val="0"/>
                <w:sz w:val="19"/>
                <w:szCs w:val="19"/>
              </w:rPr>
            </w:pPr>
            <w:r w:rsidRPr="003F13EC">
              <w:rPr>
                <w:rFonts w:ascii="Arial" w:eastAsia="新細明體" w:hAnsi="Arial" w:cs="Arial"/>
                <w:color w:val="333333"/>
                <w:kern w:val="0"/>
                <w:sz w:val="19"/>
                <w:szCs w:val="19"/>
              </w:rPr>
              <w:t> 106/11/09</w:t>
            </w:r>
          </w:p>
        </w:tc>
      </w:tr>
      <w:tr w:rsidR="00FB1F43" w:rsidRPr="003F13EC" w:rsidTr="00FB1F43">
        <w:trPr>
          <w:trHeight w:val="376"/>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spacing w:line="363" w:lineRule="atLeast"/>
              <w:jc w:val="center"/>
              <w:rPr>
                <w:rFonts w:ascii="Arial" w:eastAsia="新細明體" w:hAnsi="Arial" w:cs="Arial"/>
                <w:color w:val="FFFFFF"/>
                <w:kern w:val="0"/>
                <w:sz w:val="19"/>
                <w:szCs w:val="19"/>
              </w:rPr>
            </w:pPr>
            <w:r w:rsidRPr="003F13EC">
              <w:rPr>
                <w:rFonts w:ascii="Arial" w:eastAsia="新細明體" w:hAnsi="Arial" w:cs="Arial"/>
                <w:color w:val="FFFFFF"/>
                <w:kern w:val="0"/>
                <w:sz w:val="19"/>
                <w:szCs w:val="19"/>
              </w:rPr>
              <w:t>說</w:t>
            </w:r>
            <w:r w:rsidRPr="00B35A37">
              <w:rPr>
                <w:rFonts w:ascii="細明體" w:eastAsia="細明體" w:hAnsi="細明體" w:cs="新細明體"/>
                <w:bCs/>
                <w:color w:val="333333"/>
                <w:kern w:val="0"/>
                <w:sz w:val="22"/>
              </w:rPr>
              <w:t>說明</w:t>
            </w:r>
            <w:r w:rsidRPr="003F13EC">
              <w:rPr>
                <w:rFonts w:ascii="Arial" w:eastAsia="新細明體" w:hAnsi="Arial" w:cs="Arial"/>
                <w:color w:val="FFFFFF"/>
                <w:kern w:val="0"/>
                <w:sz w:val="19"/>
                <w:szCs w:val="19"/>
              </w:rPr>
              <w:t>明</w:t>
            </w:r>
          </w:p>
        </w:tc>
        <w:tc>
          <w:tcPr>
            <w:tcW w:w="93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1.事實發生日:106/11/09</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2.發生緣由:依財團法人中華民國證券櫃檯買賣中心通知辦理。</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3.財務業務資訊:公司最近一個月單月、最近二個月累計及最近一季單季財</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proofErr w:type="gramStart"/>
            <w:r w:rsidRPr="003F13EC">
              <w:rPr>
                <w:rFonts w:ascii="細明體" w:eastAsia="細明體" w:hAnsi="細明體" w:cs="細明體"/>
                <w:color w:val="333333"/>
                <w:kern w:val="0"/>
                <w:szCs w:val="24"/>
              </w:rPr>
              <w:t>務</w:t>
            </w:r>
            <w:proofErr w:type="gramEnd"/>
            <w:r w:rsidRPr="003F13EC">
              <w:rPr>
                <w:rFonts w:ascii="細明體" w:eastAsia="細明體" w:hAnsi="細明體" w:cs="細明體"/>
                <w:color w:val="333333"/>
                <w:kern w:val="0"/>
                <w:szCs w:val="24"/>
              </w:rPr>
              <w:t>報告暨最近四季</w:t>
            </w:r>
            <w:proofErr w:type="gramStart"/>
            <w:r w:rsidRPr="003F13EC">
              <w:rPr>
                <w:rFonts w:ascii="細明體" w:eastAsia="細明體" w:hAnsi="細明體" w:cs="細明體"/>
                <w:color w:val="333333"/>
                <w:kern w:val="0"/>
                <w:szCs w:val="24"/>
              </w:rPr>
              <w:t>季</w:t>
            </w:r>
            <w:proofErr w:type="gramEnd"/>
            <w:r w:rsidRPr="003F13EC">
              <w:rPr>
                <w:rFonts w:ascii="細明體" w:eastAsia="細明體" w:hAnsi="細明體" w:cs="細明體"/>
                <w:color w:val="333333"/>
                <w:kern w:val="0"/>
                <w:szCs w:val="24"/>
              </w:rPr>
              <w:t>報資訊如下:</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最近一月單月       106年10月     105年10月   與去年同期增減</w:t>
            </w:r>
            <w:proofErr w:type="gramStart"/>
            <w:r w:rsidRPr="003F13EC">
              <w:rPr>
                <w:rFonts w:ascii="細明體" w:eastAsia="細明體" w:hAnsi="細明體" w:cs="細明體"/>
                <w:color w:val="333333"/>
                <w:kern w:val="0"/>
                <w:szCs w:val="24"/>
              </w:rPr>
              <w:t>﹪</w:t>
            </w:r>
            <w:proofErr w:type="gramEnd"/>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營業收入（仟元）     20,220        22,129           -8.63%</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稅前淨利（仟元）      1,127         3,556          -68.31%</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稅後純益淨利</w:t>
            </w:r>
            <w:proofErr w:type="gramStart"/>
            <w:r w:rsidRPr="003F13EC">
              <w:rPr>
                <w:rFonts w:ascii="細明體" w:eastAsia="細明體" w:hAnsi="細明體" w:cs="細明體"/>
                <w:color w:val="333333"/>
                <w:kern w:val="0"/>
                <w:szCs w:val="24"/>
              </w:rPr>
              <w:t>（</w:t>
            </w:r>
            <w:proofErr w:type="gramEnd"/>
            <w:r w:rsidRPr="003F13EC">
              <w:rPr>
                <w:rFonts w:ascii="細明體" w:eastAsia="細明體" w:hAnsi="細明體" w:cs="細明體"/>
                <w:color w:val="333333"/>
                <w:kern w:val="0"/>
                <w:szCs w:val="24"/>
              </w:rPr>
              <w:t>仟元)     927         3,056          -69.67%</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每股盈餘（元）         0.03           0.1          -70.00%</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最近二個月累計    106年9月至       105年9月</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r w:rsidRPr="003F13EC">
              <w:rPr>
                <w:rFonts w:ascii="細明體" w:eastAsia="細明體" w:hAnsi="細明體" w:cs="細明體"/>
                <w:color w:val="333333"/>
                <w:kern w:val="0"/>
                <w:szCs w:val="24"/>
              </w:rPr>
              <w:t xml:space="preserve">            106年10月      至105年10月 </w:t>
            </w:r>
            <w:r>
              <w:rPr>
                <w:rFonts w:ascii="細明體" w:eastAsia="細明體" w:hAnsi="細明體" w:cs="細明體" w:hint="eastAsia"/>
                <w:color w:val="333333"/>
                <w:kern w:val="0"/>
                <w:szCs w:val="24"/>
              </w:rPr>
              <w:t xml:space="preserve"> </w:t>
            </w:r>
            <w:r w:rsidRPr="003F13EC">
              <w:rPr>
                <w:rFonts w:ascii="細明體" w:eastAsia="細明體" w:hAnsi="細明體" w:cs="細明體"/>
                <w:color w:val="333333"/>
                <w:kern w:val="0"/>
                <w:szCs w:val="24"/>
              </w:rPr>
              <w:t>與去年同期增減</w:t>
            </w:r>
            <w:proofErr w:type="gramStart"/>
            <w:r w:rsidRPr="003F13EC">
              <w:rPr>
                <w:rFonts w:ascii="細明體" w:eastAsia="細明體" w:hAnsi="細明體" w:cs="細明體"/>
                <w:color w:val="333333"/>
                <w:kern w:val="0"/>
                <w:szCs w:val="24"/>
              </w:rPr>
              <w:t>﹪</w:t>
            </w:r>
            <w:proofErr w:type="gramEnd"/>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營業收入（仟元）     40,510          43,286         -6.41%</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稅前淨利（仟元）      3,263           4,439         -26.49%</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稅後純益淨利</w:t>
            </w:r>
            <w:proofErr w:type="gramStart"/>
            <w:r w:rsidRPr="003F13EC">
              <w:rPr>
                <w:rFonts w:ascii="細明體" w:eastAsia="細明體" w:hAnsi="細明體" w:cs="細明體"/>
                <w:color w:val="333333"/>
                <w:kern w:val="0"/>
                <w:szCs w:val="24"/>
              </w:rPr>
              <w:t>（</w:t>
            </w:r>
            <w:proofErr w:type="gramEnd"/>
            <w:r w:rsidRPr="003F13EC">
              <w:rPr>
                <w:rFonts w:ascii="細明體" w:eastAsia="細明體" w:hAnsi="細明體" w:cs="細明體"/>
                <w:color w:val="333333"/>
                <w:kern w:val="0"/>
                <w:szCs w:val="24"/>
              </w:rPr>
              <w:t>仟元)   2,763           4,139         -33.24%</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每股盈餘（元）         0.09           0.13          -30.77%</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單季               106年第3季      105年第3季  與去年同期增減</w:t>
            </w:r>
            <w:proofErr w:type="gramStart"/>
            <w:r w:rsidRPr="003F13EC">
              <w:rPr>
                <w:rFonts w:ascii="細明體" w:eastAsia="細明體" w:hAnsi="細明體" w:cs="細明體"/>
                <w:color w:val="333333"/>
                <w:kern w:val="0"/>
                <w:szCs w:val="24"/>
              </w:rPr>
              <w:t>﹪</w:t>
            </w:r>
            <w:proofErr w:type="gramEnd"/>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營業收入（仟元）     62,507           65,005         -3.84%</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稅前淨利（仟元）      4,815            6,329         -23.92%</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稅後純益淨利（仟元）  4,117            5,522         -25.44%</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每股盈餘</w:t>
            </w:r>
            <w:proofErr w:type="gramStart"/>
            <w:r w:rsidRPr="003F13EC">
              <w:rPr>
                <w:rFonts w:ascii="細明體" w:eastAsia="細明體" w:hAnsi="細明體" w:cs="細明體"/>
                <w:color w:val="333333"/>
                <w:kern w:val="0"/>
                <w:szCs w:val="24"/>
              </w:rPr>
              <w:t>（</w:t>
            </w:r>
            <w:proofErr w:type="gramEnd"/>
            <w:r w:rsidRPr="003F13EC">
              <w:rPr>
                <w:rFonts w:ascii="細明體" w:eastAsia="細明體" w:hAnsi="細明體" w:cs="細明體"/>
                <w:color w:val="333333"/>
                <w:kern w:val="0"/>
                <w:szCs w:val="24"/>
              </w:rPr>
              <w:t>元)          0.13             0.17         -23.53%</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lastRenderedPageBreak/>
              <w:t>最近四季累計      105年第4季至106年第3季</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營業收入（仟元）         261,087</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稅前淨利（仟元）          23,822</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稅後純益淨利（仟元）      20,121</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每股盈餘</w:t>
            </w:r>
            <w:proofErr w:type="gramStart"/>
            <w:r w:rsidRPr="003F13EC">
              <w:rPr>
                <w:rFonts w:ascii="細明體" w:eastAsia="細明體" w:hAnsi="細明體" w:cs="細明體"/>
                <w:color w:val="333333"/>
                <w:kern w:val="0"/>
                <w:szCs w:val="24"/>
              </w:rPr>
              <w:t>（</w:t>
            </w:r>
            <w:proofErr w:type="gramEnd"/>
            <w:r w:rsidRPr="003F13EC">
              <w:rPr>
                <w:rFonts w:ascii="細明體" w:eastAsia="細明體" w:hAnsi="細明體" w:cs="細明體"/>
                <w:color w:val="333333"/>
                <w:kern w:val="0"/>
                <w:szCs w:val="24"/>
              </w:rPr>
              <w:t>元)              0.63</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r w:rsidRPr="003F13EC">
              <w:rPr>
                <w:rFonts w:ascii="細明體" w:eastAsia="細明體" w:hAnsi="細明體" w:cs="細明體"/>
                <w:color w:val="333333"/>
                <w:kern w:val="0"/>
                <w:szCs w:val="24"/>
              </w:rPr>
              <w:t>以上106年10月、106年9月及去年同期比較數之財務資料係本公司</w:t>
            </w:r>
            <w:proofErr w:type="gramStart"/>
            <w:r w:rsidRPr="003F13EC">
              <w:rPr>
                <w:rFonts w:ascii="細明體" w:eastAsia="細明體" w:hAnsi="細明體" w:cs="細明體"/>
                <w:color w:val="333333"/>
                <w:kern w:val="0"/>
                <w:szCs w:val="24"/>
              </w:rPr>
              <w:t>採</w:t>
            </w:r>
            <w:proofErr w:type="gramEnd"/>
            <w:r w:rsidRPr="003F13EC">
              <w:rPr>
                <w:rFonts w:ascii="細明體" w:eastAsia="細明體" w:hAnsi="細明體" w:cs="細明體"/>
                <w:color w:val="333333"/>
                <w:kern w:val="0"/>
                <w:szCs w:val="24"/>
              </w:rPr>
              <w:t>IFRS會計</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準則編製之合併</w:t>
            </w:r>
            <w:proofErr w:type="gramStart"/>
            <w:r w:rsidRPr="003F13EC">
              <w:rPr>
                <w:rFonts w:ascii="細明體" w:eastAsia="細明體" w:hAnsi="細明體" w:cs="細明體"/>
                <w:color w:val="333333"/>
                <w:kern w:val="0"/>
                <w:szCs w:val="24"/>
              </w:rPr>
              <w:t>核閱數</w:t>
            </w:r>
            <w:proofErr w:type="gramEnd"/>
            <w:r w:rsidRPr="003F13EC">
              <w:rPr>
                <w:rFonts w:ascii="細明體" w:eastAsia="細明體" w:hAnsi="細明體" w:cs="細明體"/>
                <w:color w:val="333333"/>
                <w:kern w:val="0"/>
                <w:szCs w:val="24"/>
              </w:rPr>
              <w:t>，未經會計師查核(閱)，僅供投資人參考。</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最近一季106年</w:t>
            </w:r>
            <w:proofErr w:type="gramStart"/>
            <w:r w:rsidRPr="003F13EC">
              <w:rPr>
                <w:rFonts w:ascii="細明體" w:eastAsia="細明體" w:hAnsi="細明體" w:cs="細明體"/>
                <w:color w:val="333333"/>
                <w:kern w:val="0"/>
                <w:szCs w:val="24"/>
              </w:rPr>
              <w:t>第3季係指</w:t>
            </w:r>
            <w:proofErr w:type="gramEnd"/>
            <w:r w:rsidRPr="003F13EC">
              <w:rPr>
                <w:rFonts w:ascii="細明體" w:eastAsia="細明體" w:hAnsi="細明體" w:cs="細明體"/>
                <w:color w:val="333333"/>
                <w:kern w:val="0"/>
                <w:szCs w:val="24"/>
              </w:rPr>
              <w:t>單季數字，非為最近財務報告中之累計數字，且係</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本公司</w:t>
            </w:r>
            <w:proofErr w:type="gramStart"/>
            <w:r w:rsidRPr="003F13EC">
              <w:rPr>
                <w:rFonts w:ascii="細明體" w:eastAsia="細明體" w:hAnsi="細明體" w:cs="細明體"/>
                <w:color w:val="333333"/>
                <w:kern w:val="0"/>
                <w:szCs w:val="24"/>
              </w:rPr>
              <w:t>採</w:t>
            </w:r>
            <w:proofErr w:type="gramEnd"/>
            <w:r w:rsidRPr="003F13EC">
              <w:rPr>
                <w:rFonts w:ascii="細明體" w:eastAsia="細明體" w:hAnsi="細明體" w:cs="細明體"/>
                <w:color w:val="333333"/>
                <w:kern w:val="0"/>
                <w:szCs w:val="24"/>
              </w:rPr>
              <w:t>IFRS</w:t>
            </w:r>
            <w:proofErr w:type="gramStart"/>
            <w:r w:rsidRPr="003F13EC">
              <w:rPr>
                <w:rFonts w:ascii="細明體" w:eastAsia="細明體" w:hAnsi="細明體" w:cs="細明體"/>
                <w:color w:val="333333"/>
                <w:kern w:val="0"/>
                <w:szCs w:val="24"/>
              </w:rPr>
              <w:t>下編製</w:t>
            </w:r>
            <w:proofErr w:type="gramEnd"/>
            <w:r w:rsidRPr="003F13EC">
              <w:rPr>
                <w:rFonts w:ascii="細明體" w:eastAsia="細明體" w:hAnsi="細明體" w:cs="細明體"/>
                <w:color w:val="333333"/>
                <w:kern w:val="0"/>
                <w:szCs w:val="24"/>
              </w:rPr>
              <w:t>之合併數，業經會計師查核(閱)，僅供投資人參考。</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jc w:val="center"/>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最近四季累計係本公司105年第4季至106年第3季</w:t>
            </w:r>
            <w:proofErr w:type="gramStart"/>
            <w:r w:rsidRPr="003F13EC">
              <w:rPr>
                <w:rFonts w:ascii="細明體" w:eastAsia="細明體" w:hAnsi="細明體" w:cs="細明體"/>
                <w:color w:val="333333"/>
                <w:kern w:val="0"/>
                <w:szCs w:val="24"/>
              </w:rPr>
              <w:t>採</w:t>
            </w:r>
            <w:proofErr w:type="gramEnd"/>
            <w:r w:rsidRPr="003F13EC">
              <w:rPr>
                <w:rFonts w:ascii="細明體" w:eastAsia="細明體" w:hAnsi="細明體" w:cs="細明體"/>
                <w:color w:val="333333"/>
                <w:kern w:val="0"/>
                <w:szCs w:val="24"/>
              </w:rPr>
              <w:t>IFRS編製之合併數，業經</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會計師查核(閱)，僅供投資人參考。</w:t>
            </w:r>
          </w:p>
          <w:p w:rsidR="00FB1F43"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4.有無「財團法人中華民國證券櫃檯買賣中心對有價證券上櫃公司重大訊息之查證暨公開處理程序 」第4條所列重大訊息之情事（如「有」，請說明）:無。</w:t>
            </w:r>
          </w:p>
          <w:p w:rsidR="00FB1F43"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5.有無「財團法人中華民國證券櫃檯買賣中心對有價證券上櫃公司重大訊息之查證暨公開處理程序」第11條所列重大訊息說明記者會之情事:無。</w:t>
            </w:r>
          </w:p>
          <w:p w:rsidR="003F13EC" w:rsidRPr="003F13EC" w:rsidRDefault="00FB1F43" w:rsidP="003F1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3" w:lineRule="atLeast"/>
              <w:rPr>
                <w:rFonts w:ascii="細明體" w:eastAsia="細明體" w:hAnsi="細明體" w:cs="細明體"/>
                <w:color w:val="333333"/>
                <w:kern w:val="0"/>
                <w:szCs w:val="24"/>
              </w:rPr>
            </w:pPr>
            <w:r w:rsidRPr="003F13EC">
              <w:rPr>
                <w:rFonts w:ascii="細明體" w:eastAsia="細明體" w:hAnsi="細明體" w:cs="細明體"/>
                <w:color w:val="333333"/>
                <w:kern w:val="0"/>
                <w:szCs w:val="24"/>
              </w:rPr>
              <w:t>6.其他應敘明事項:無。</w:t>
            </w:r>
          </w:p>
        </w:tc>
      </w:tr>
    </w:tbl>
    <w:p w:rsidR="00037754" w:rsidRPr="003F13EC" w:rsidRDefault="00037754"/>
    <w:sectPr w:rsidR="00037754" w:rsidRPr="003F13EC" w:rsidSect="0003775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27" w:rsidRDefault="00936327" w:rsidP="00C15D79">
      <w:r>
        <w:separator/>
      </w:r>
    </w:p>
  </w:endnote>
  <w:endnote w:type="continuationSeparator" w:id="0">
    <w:p w:rsidR="00936327" w:rsidRDefault="00936327" w:rsidP="00C15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27" w:rsidRDefault="00936327" w:rsidP="00C15D79">
      <w:r>
        <w:separator/>
      </w:r>
    </w:p>
  </w:footnote>
  <w:footnote w:type="continuationSeparator" w:id="0">
    <w:p w:rsidR="00936327" w:rsidRDefault="00936327" w:rsidP="00C15D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A37"/>
    <w:rsid w:val="00037754"/>
    <w:rsid w:val="0008141F"/>
    <w:rsid w:val="00303851"/>
    <w:rsid w:val="003C372C"/>
    <w:rsid w:val="003C4AE0"/>
    <w:rsid w:val="003F13EC"/>
    <w:rsid w:val="00936327"/>
    <w:rsid w:val="00B35A37"/>
    <w:rsid w:val="00C15D79"/>
    <w:rsid w:val="00F636C8"/>
    <w:rsid w:val="00FB1F43"/>
    <w:rsid w:val="00FD5F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7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35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35A37"/>
    <w:rPr>
      <w:rFonts w:ascii="細明體" w:eastAsia="細明體" w:hAnsi="細明體" w:cs="細明體"/>
      <w:kern w:val="0"/>
      <w:szCs w:val="24"/>
    </w:rPr>
  </w:style>
  <w:style w:type="paragraph" w:styleId="a3">
    <w:name w:val="header"/>
    <w:basedOn w:val="a"/>
    <w:link w:val="a4"/>
    <w:uiPriority w:val="99"/>
    <w:semiHidden/>
    <w:unhideWhenUsed/>
    <w:rsid w:val="00C15D79"/>
    <w:pPr>
      <w:tabs>
        <w:tab w:val="center" w:pos="4153"/>
        <w:tab w:val="right" w:pos="8306"/>
      </w:tabs>
      <w:snapToGrid w:val="0"/>
    </w:pPr>
    <w:rPr>
      <w:sz w:val="20"/>
      <w:szCs w:val="20"/>
    </w:rPr>
  </w:style>
  <w:style w:type="character" w:customStyle="1" w:styleId="a4">
    <w:name w:val="頁首 字元"/>
    <w:basedOn w:val="a0"/>
    <w:link w:val="a3"/>
    <w:uiPriority w:val="99"/>
    <w:semiHidden/>
    <w:rsid w:val="00C15D79"/>
    <w:rPr>
      <w:sz w:val="20"/>
      <w:szCs w:val="20"/>
    </w:rPr>
  </w:style>
  <w:style w:type="paragraph" w:styleId="a5">
    <w:name w:val="footer"/>
    <w:basedOn w:val="a"/>
    <w:link w:val="a6"/>
    <w:uiPriority w:val="99"/>
    <w:semiHidden/>
    <w:unhideWhenUsed/>
    <w:rsid w:val="00C15D79"/>
    <w:pPr>
      <w:tabs>
        <w:tab w:val="center" w:pos="4153"/>
        <w:tab w:val="right" w:pos="8306"/>
      </w:tabs>
      <w:snapToGrid w:val="0"/>
    </w:pPr>
    <w:rPr>
      <w:sz w:val="20"/>
      <w:szCs w:val="20"/>
    </w:rPr>
  </w:style>
  <w:style w:type="character" w:customStyle="1" w:styleId="a6">
    <w:name w:val="頁尾 字元"/>
    <w:basedOn w:val="a0"/>
    <w:link w:val="a5"/>
    <w:uiPriority w:val="99"/>
    <w:semiHidden/>
    <w:rsid w:val="00C15D79"/>
    <w:rPr>
      <w:sz w:val="20"/>
      <w:szCs w:val="20"/>
    </w:rPr>
  </w:style>
</w:styles>
</file>

<file path=word/webSettings.xml><?xml version="1.0" encoding="utf-8"?>
<w:webSettings xmlns:r="http://schemas.openxmlformats.org/officeDocument/2006/relationships" xmlns:w="http://schemas.openxmlformats.org/wordprocessingml/2006/main">
  <w:divs>
    <w:div w:id="811361129">
      <w:bodyDiv w:val="1"/>
      <w:marLeft w:val="0"/>
      <w:marRight w:val="0"/>
      <w:marTop w:val="0"/>
      <w:marBottom w:val="0"/>
      <w:divBdr>
        <w:top w:val="none" w:sz="0" w:space="0" w:color="auto"/>
        <w:left w:val="none" w:sz="0" w:space="0" w:color="auto"/>
        <w:bottom w:val="none" w:sz="0" w:space="0" w:color="auto"/>
        <w:right w:val="none" w:sz="0" w:space="0" w:color="auto"/>
      </w:divBdr>
    </w:div>
    <w:div w:id="2087143504">
      <w:bodyDiv w:val="1"/>
      <w:marLeft w:val="0"/>
      <w:marRight w:val="0"/>
      <w:marTop w:val="0"/>
      <w:marBottom w:val="0"/>
      <w:divBdr>
        <w:top w:val="none" w:sz="0" w:space="0" w:color="auto"/>
        <w:left w:val="none" w:sz="0" w:space="0" w:color="auto"/>
        <w:bottom w:val="none" w:sz="0" w:space="0" w:color="auto"/>
        <w:right w:val="none" w:sz="0" w:space="0" w:color="auto"/>
      </w:divBdr>
      <w:divsChild>
        <w:div w:id="1074737565">
          <w:marLeft w:val="0"/>
          <w:marRight w:val="0"/>
          <w:marTop w:val="0"/>
          <w:marBottom w:val="0"/>
          <w:divBdr>
            <w:top w:val="none" w:sz="0" w:space="0" w:color="auto"/>
            <w:left w:val="none" w:sz="0" w:space="0" w:color="auto"/>
            <w:bottom w:val="none" w:sz="0" w:space="0" w:color="auto"/>
            <w:right w:val="none" w:sz="0" w:space="0" w:color="auto"/>
          </w:divBdr>
          <w:divsChild>
            <w:div w:id="1083799365">
              <w:marLeft w:val="0"/>
              <w:marRight w:val="0"/>
              <w:marTop w:val="0"/>
              <w:marBottom w:val="0"/>
              <w:divBdr>
                <w:top w:val="none" w:sz="0" w:space="0" w:color="auto"/>
                <w:left w:val="none" w:sz="0" w:space="0" w:color="auto"/>
                <w:bottom w:val="none" w:sz="0" w:space="0" w:color="auto"/>
                <w:right w:val="none" w:sz="0" w:space="0" w:color="auto"/>
              </w:divBdr>
              <w:divsChild>
                <w:div w:id="8220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1329</Characters>
  <Application>Microsoft Office Word</Application>
  <DocSecurity>0</DocSecurity>
  <Lines>11</Lines>
  <Paragraphs>3</Paragraphs>
  <ScaleCrop>false</ScaleCrop>
  <Company>Hewlett-Packard Company</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5</cp:revision>
  <dcterms:created xsi:type="dcterms:W3CDTF">2017-11-17T06:09:00Z</dcterms:created>
  <dcterms:modified xsi:type="dcterms:W3CDTF">2017-11-17T06:14:00Z</dcterms:modified>
</cp:coreProperties>
</file>